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442EB7">
        <w:rPr>
          <w:sz w:val="27"/>
          <w:szCs w:val="27"/>
        </w:rPr>
        <w:t>4</w:t>
      </w:r>
      <w:r w:rsidR="00492210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442EB7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42EB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92210" w:rsidRPr="00492210">
        <w:rPr>
          <w:sz w:val="27"/>
          <w:szCs w:val="27"/>
        </w:rPr>
        <w:t xml:space="preserve">О проведении электронного аукциона на право заключения муниципального контракта на выполнение работ по ликвидации несанкционированных свалок в 2025 году в границах </w:t>
      </w:r>
      <w:proofErr w:type="spellStart"/>
      <w:r w:rsidR="00492210" w:rsidRPr="00492210">
        <w:rPr>
          <w:sz w:val="27"/>
          <w:szCs w:val="27"/>
        </w:rPr>
        <w:t>Заневского</w:t>
      </w:r>
      <w:proofErr w:type="spellEnd"/>
      <w:r w:rsidR="00492210" w:rsidRPr="00492210">
        <w:rPr>
          <w:sz w:val="27"/>
          <w:szCs w:val="27"/>
        </w:rPr>
        <w:t xml:space="preserve"> городского поселения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492210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492210" w:rsidRPr="00492210">
              <w:rPr>
                <w:sz w:val="27"/>
                <w:szCs w:val="27"/>
              </w:rPr>
              <w:t xml:space="preserve">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Уставом </w:t>
            </w:r>
            <w:proofErr w:type="spellStart"/>
            <w:r w:rsidR="00492210" w:rsidRPr="00492210">
              <w:rPr>
                <w:sz w:val="27"/>
                <w:szCs w:val="27"/>
              </w:rPr>
              <w:t>Заневского</w:t>
            </w:r>
            <w:proofErr w:type="spellEnd"/>
            <w:r w:rsidR="00492210" w:rsidRPr="0049221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Положением об администрации </w:t>
            </w:r>
            <w:proofErr w:type="spellStart"/>
            <w:r w:rsidR="00492210" w:rsidRPr="00492210">
              <w:rPr>
                <w:sz w:val="27"/>
                <w:szCs w:val="27"/>
              </w:rPr>
              <w:t>Заневского</w:t>
            </w:r>
            <w:proofErr w:type="spellEnd"/>
            <w:r w:rsidR="00492210" w:rsidRPr="0049221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области, постановлением администрации </w:t>
            </w:r>
            <w:proofErr w:type="spellStart"/>
            <w:r w:rsidR="00492210" w:rsidRPr="00492210">
              <w:rPr>
                <w:sz w:val="27"/>
                <w:szCs w:val="27"/>
              </w:rPr>
              <w:t>Заневского</w:t>
            </w:r>
            <w:proofErr w:type="spellEnd"/>
            <w:r w:rsidR="00492210" w:rsidRPr="0049221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16.01.2025 № 12 «Об уполномоченном органе </w:t>
            </w:r>
            <w:bookmarkStart w:id="0" w:name="_GoBack"/>
            <w:bookmarkEnd w:id="0"/>
            <w:r w:rsidR="00492210" w:rsidRPr="00492210">
              <w:rPr>
                <w:sz w:val="27"/>
                <w:szCs w:val="27"/>
              </w:rPr>
              <w:t xml:space="preserve">на определение поставщика (подрядчика, исполнителя) для обеспечения муниципальных нужд заказчиков </w:t>
            </w:r>
            <w:proofErr w:type="spellStart"/>
            <w:r w:rsidR="00492210" w:rsidRPr="00492210">
              <w:rPr>
                <w:sz w:val="27"/>
                <w:szCs w:val="27"/>
              </w:rPr>
              <w:t>Заневского</w:t>
            </w:r>
            <w:proofErr w:type="spellEnd"/>
            <w:r w:rsidR="00492210" w:rsidRPr="00492210">
              <w:rPr>
                <w:sz w:val="27"/>
                <w:szCs w:val="27"/>
              </w:rPr>
              <w:t xml:space="preserve"> городского поселения Всеволожского муниципального района»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F2AB1" w:rsidRDefault="00FF2AB1" w:rsidP="003E7623">
      <w:r>
        <w:separator/>
      </w:r>
    </w:p>
  </w:endnote>
  <w:endnote w:type="continuationSeparator" w:id="0">
    <w:p w:rsidR="00FF2AB1" w:rsidRDefault="00FF2AB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F2AB1" w:rsidRDefault="00FF2AB1" w:rsidP="003E7623">
      <w:r>
        <w:separator/>
      </w:r>
    </w:p>
  </w:footnote>
  <w:footnote w:type="continuationSeparator" w:id="0">
    <w:p w:rsidR="00FF2AB1" w:rsidRDefault="00FF2AB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210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AB1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63A1C-BAB3-445F-A150-D1F288C89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2025-10-27T07:11:00Z</dcterms:created>
  <dcterms:modified xsi:type="dcterms:W3CDTF">2025-10-27T07:11:00Z</dcterms:modified>
</cp:coreProperties>
</file>